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719F7" w14:textId="0FCD4885" w:rsidR="00412F50" w:rsidRPr="00191E1B" w:rsidRDefault="00191E1B" w:rsidP="00191E1B">
      <w:pPr>
        <w:pStyle w:val="Heading1"/>
      </w:pPr>
      <w:bookmarkStart w:id="0" w:name="_GoBack"/>
      <w:bookmarkEnd w:id="0"/>
      <w:r w:rsidRPr="00191E1B">
        <w:t>Designing a Low-Cost Pollution Prevention Plan to Pay Off at the University of Houston</w:t>
      </w:r>
    </w:p>
    <w:p w14:paraId="17223D28" w14:textId="77777777" w:rsidR="00F12263" w:rsidRDefault="00F12263" w:rsidP="00F12263">
      <w:pPr>
        <w:ind w:firstLine="720"/>
        <w:rPr>
          <w:b/>
          <w:bCs/>
        </w:rPr>
      </w:pPr>
      <w:r>
        <w:t>Chemical substances used in daily activities at the University of Houston generate a significant amount of waste materials. These wastes are non-halogenated solvents, halogenated solvents, hazardous lab packs, non-hazardous lab packs, waste-oil derivatives, and photographic fixers. Over the past few years, there has been a surge in such activities, especially research-related activities. The Institution, classified as a massive generator of hazardous wastes, is required by the Texas Commission on Environmental Quality (TCEQ) to design and implement a plan on disposal of these waste materials. Thus, the Institution had to design a descriptive Pollution Prevention (P2) plan that controlled the emitted toxic wastes.</w:t>
      </w:r>
      <w:r w:rsidRPr="00F12263">
        <w:rPr>
          <w:b/>
          <w:bCs/>
        </w:rPr>
        <w:t xml:space="preserve"> </w:t>
      </w:r>
    </w:p>
    <w:p w14:paraId="74DE3DD8" w14:textId="40E01D30" w:rsidR="00F12263" w:rsidRPr="00F12263" w:rsidRDefault="00F12263" w:rsidP="00F12263">
      <w:pPr>
        <w:ind w:firstLine="720"/>
        <w:rPr>
          <w:b/>
          <w:bCs/>
        </w:rPr>
      </w:pPr>
      <w:r>
        <w:t xml:space="preserve">The team identified three projects that would help the Institution in handling the toxic wastes. The first project was to increase the bulk of the compatible liquid waste. </w:t>
      </w:r>
      <w:r w:rsidRPr="00F12263">
        <w:t xml:space="preserve">Liquid chemical wastes were packed into individual containers, and the team saw it fit to combine these containers into a single large one. The combination process required the reassignment of various staff roles with respect to waste packing alongside a change in the waste-bulking method. The method of bulking was shifted to fume hood, which was safer and more effective. These fume hoods were modified, taking into account that it was estimated to </w:t>
      </w:r>
      <w:r>
        <w:t>result in</w:t>
      </w:r>
      <w:r w:rsidRPr="00F12263">
        <w:t xml:space="preserve"> a 93% </w:t>
      </w:r>
      <w:r>
        <w:t>reduction of costs,</w:t>
      </w:r>
      <w:r w:rsidRPr="00F12263">
        <w:t xml:space="preserve"> in terms of an $8218 to $569 annual drop on liquid chemical waste expenditure.</w:t>
      </w:r>
    </w:p>
    <w:p w14:paraId="13EFD8F9" w14:textId="5BBF34ED" w:rsidR="00F12263" w:rsidRDefault="00F12263" w:rsidP="00F12263">
      <w:pPr>
        <w:ind w:firstLine="720"/>
      </w:pPr>
      <w:r>
        <w:t xml:space="preserve">The second project was to recover silver from silver-containing liquid waste generated by photographic laboratories. Silver recovery saved money for the Institution in two ways; monetary value credited by TCEQ for such recovery and the overall disposal costs of silver containing waste would be lower. The recovery process that was proposed by the team was to be from various others, including electrolyte recovery, precipitation, metallic replacement and ion exchange. The team landed on using an electrolyte recovery system followed by the chemical </w:t>
      </w:r>
      <w:r>
        <w:lastRenderedPageBreak/>
        <w:t xml:space="preserve">recovery cartridge system since the process enabled the recovery of silver and disposal of the remaining solution to the city sewer system. </w:t>
      </w:r>
    </w:p>
    <w:p w14:paraId="752D24C5" w14:textId="340DE3FB" w:rsidR="00F12263" w:rsidRPr="00F12263" w:rsidRDefault="00F12263" w:rsidP="00F12263">
      <w:pPr>
        <w:ind w:firstLine="720"/>
        <w:rPr>
          <w:b/>
          <w:bCs/>
        </w:rPr>
      </w:pPr>
      <w:r>
        <w:t>The final project was improving the existing recycling efforts that were in place. One specific area that was targeted was oil recycling. The oil, used from various parts of the University would be useful to an auto shop that performs routine maintenance on the University’s fleet of vehicles. This oil recycling strategy would eliminate disposal costs from $3411 per year to $0, a remarkable 100% gain on savings.</w:t>
      </w:r>
    </w:p>
    <w:p w14:paraId="43D10E68" w14:textId="4622779C" w:rsidR="00F12263" w:rsidRPr="00F12263" w:rsidRDefault="00F12263" w:rsidP="00F12263">
      <w:pPr>
        <w:ind w:firstLine="720"/>
        <w:rPr>
          <w:b/>
          <w:bCs/>
        </w:rPr>
      </w:pPr>
      <w:r>
        <w:t>Houston University generates a massive amount of chemical waste, which is hazardous to the environment, and the quantity of waste keeps on increasing as the University grows overtime. The waste minimization team was formed, and the team was able to identify the successful projects that aided in the chemical waste curbing by 50%. The Institution faced some challenges to curb the chemical waste increment crisis, which may be faced by other institutions when undergoing the same practices. The University’s P2 is a commendable one. The three projects laid out strategies that will help decide what needs doing and the desired goals. The projects result in a higher success rate than the initial plans. The plan is also cost-effective, saving the University a fortune. It also creates a good rapport with the surrounding society when the University handles these wastes properly.</w:t>
      </w:r>
      <w:r>
        <w:br w:type="page"/>
      </w:r>
    </w:p>
    <w:p w14:paraId="3B863027" w14:textId="64D112F4" w:rsidR="00F12263" w:rsidRDefault="00F12263" w:rsidP="00F12263">
      <w:pPr>
        <w:jc w:val="center"/>
      </w:pPr>
      <w:r>
        <w:lastRenderedPageBreak/>
        <w:t>References</w:t>
      </w:r>
    </w:p>
    <w:p w14:paraId="61C01FB1" w14:textId="39504D6B" w:rsidR="00F12263" w:rsidRDefault="00F12263" w:rsidP="00191E1B">
      <w:proofErr w:type="spellStart"/>
      <w:r w:rsidRPr="00F12263">
        <w:t>Bialowas</w:t>
      </w:r>
      <w:proofErr w:type="spellEnd"/>
      <w:r w:rsidRPr="00F12263">
        <w:t xml:space="preserve">, Y., Sullivan, E., &amp; Schneller, R. (2020). Designing a Low-Cost Pollution Prevention </w:t>
      </w:r>
      <w:r>
        <w:tab/>
      </w:r>
      <w:r w:rsidRPr="00F12263">
        <w:t>Plan to Pay Off at the University of Houston. </w:t>
      </w:r>
      <w:r w:rsidRPr="00F12263">
        <w:rPr>
          <w:i/>
          <w:iCs/>
        </w:rPr>
        <w:t xml:space="preserve">Journal </w:t>
      </w:r>
      <w:proofErr w:type="gramStart"/>
      <w:r w:rsidRPr="00F12263">
        <w:rPr>
          <w:i/>
          <w:iCs/>
        </w:rPr>
        <w:t>Of</w:t>
      </w:r>
      <w:proofErr w:type="gramEnd"/>
      <w:r w:rsidRPr="00F12263">
        <w:rPr>
          <w:i/>
          <w:iCs/>
        </w:rPr>
        <w:t xml:space="preserve"> The Air &amp; Waste Management </w:t>
      </w:r>
      <w:r>
        <w:rPr>
          <w:i/>
          <w:iCs/>
        </w:rPr>
        <w:tab/>
      </w:r>
      <w:r w:rsidRPr="00F12263">
        <w:rPr>
          <w:i/>
          <w:iCs/>
        </w:rPr>
        <w:t>Association</w:t>
      </w:r>
      <w:r w:rsidRPr="00F12263">
        <w:t>, </w:t>
      </w:r>
      <w:r w:rsidRPr="00F12263">
        <w:rPr>
          <w:i/>
          <w:iCs/>
        </w:rPr>
        <w:t>56</w:t>
      </w:r>
      <w:r w:rsidRPr="00F12263">
        <w:t>, 1320-1324. Retrieved 7 June 2020.</w:t>
      </w:r>
    </w:p>
    <w:p w14:paraId="636B908A" w14:textId="649F421B" w:rsidR="00F12263" w:rsidRDefault="00F12263" w:rsidP="00191E1B">
      <w:r>
        <w:t xml:space="preserve">Houston, T. U. (n.d.). Greenhouse Gas Emissions Reduction Opportunities for Concrete </w:t>
      </w:r>
      <w:r>
        <w:tab/>
        <w:t xml:space="preserve">Pavements. The University of Houston Environmental Health and Risk Management </w:t>
      </w:r>
      <w:r>
        <w:tab/>
        <w:t xml:space="preserve">Department. Policies and Procedures. </w:t>
      </w:r>
      <w:r w:rsidRPr="003B1411">
        <w:rPr>
          <w:i/>
          <w:iCs/>
        </w:rPr>
        <w:t xml:space="preserve">Chemical Recycling and Waste Minimization </w:t>
      </w:r>
      <w:r>
        <w:rPr>
          <w:i/>
          <w:iCs/>
        </w:rPr>
        <w:tab/>
      </w:r>
      <w:r w:rsidRPr="003B1411">
        <w:rPr>
          <w:i/>
          <w:iCs/>
        </w:rPr>
        <w:t>Procedures</w:t>
      </w:r>
      <w:r>
        <w:t xml:space="preserve">. Available at </w:t>
      </w:r>
      <w:hyperlink r:id="rId7" w:history="1">
        <w:r w:rsidRPr="003B1411">
          <w:rPr>
            <w:rStyle w:val="Hyperlink"/>
            <w:i/>
            <w:iCs/>
          </w:rPr>
          <w:t>http://www.uh.edu/plantops/emanual/forms/ehrm/ecbs</w:t>
        </w:r>
      </w:hyperlink>
      <w:r w:rsidRPr="003B1411">
        <w:rPr>
          <w:i/>
          <w:iCs/>
        </w:rPr>
        <w:t xml:space="preserve"> </w:t>
      </w:r>
      <w:r w:rsidRPr="003B1411">
        <w:rPr>
          <w:i/>
          <w:iCs/>
        </w:rPr>
        <w:tab/>
        <w:t>_ChemRecycleWasteMinProc012605.pdf</w:t>
      </w:r>
      <w:r>
        <w:t xml:space="preserve"> (Accessed 2005).</w:t>
      </w:r>
    </w:p>
    <w:sectPr w:rsidR="00F12263">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4EE2DA" w14:textId="77777777" w:rsidR="00A221D6" w:rsidRDefault="00A221D6" w:rsidP="00191E1B">
      <w:pPr>
        <w:spacing w:line="240" w:lineRule="auto"/>
      </w:pPr>
      <w:r>
        <w:separator/>
      </w:r>
    </w:p>
  </w:endnote>
  <w:endnote w:type="continuationSeparator" w:id="0">
    <w:p w14:paraId="5AB9D003" w14:textId="77777777" w:rsidR="00A221D6" w:rsidRDefault="00A221D6" w:rsidP="00191E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9EE617" w14:textId="77777777" w:rsidR="00A221D6" w:rsidRDefault="00A221D6" w:rsidP="00191E1B">
      <w:pPr>
        <w:spacing w:line="240" w:lineRule="auto"/>
      </w:pPr>
      <w:r>
        <w:separator/>
      </w:r>
    </w:p>
  </w:footnote>
  <w:footnote w:type="continuationSeparator" w:id="0">
    <w:p w14:paraId="5DF7F4E7" w14:textId="77777777" w:rsidR="00A221D6" w:rsidRDefault="00A221D6" w:rsidP="00191E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F9AB38" w14:textId="46BB3F35" w:rsidR="00191E1B" w:rsidRDefault="00191E1B" w:rsidP="00191E1B">
    <w:pPr>
      <w:pStyle w:val="Header"/>
    </w:pPr>
    <w:r>
      <w:rPr>
        <w:lang w:val="en-US"/>
      </w:rPr>
      <w:tab/>
    </w:r>
    <w:r>
      <w:rPr>
        <w:lang w:val="en-US"/>
      </w:rPr>
      <w:tab/>
    </w:r>
    <w:sdt>
      <w:sdtPr>
        <w:id w:val="-3843359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94456">
          <w:rPr>
            <w:noProof/>
          </w:rPr>
          <w:t>1</w:t>
        </w:r>
        <w:r>
          <w:rPr>
            <w:noProof/>
          </w:rPr>
          <w:fldChar w:fldCharType="end"/>
        </w:r>
      </w:sdtContent>
    </w:sdt>
  </w:p>
  <w:p w14:paraId="4D8F09B1" w14:textId="1D706C07" w:rsidR="00191E1B" w:rsidRPr="00191E1B" w:rsidRDefault="00191E1B" w:rsidP="00191E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DI2tjA3MzUxMjFW0lEKTi0uzszPAykwrAUAiz+GciwAAAA="/>
  </w:docVars>
  <w:rsids>
    <w:rsidRoot w:val="00191E1B"/>
    <w:rsid w:val="00191E1B"/>
    <w:rsid w:val="00412F50"/>
    <w:rsid w:val="005026A8"/>
    <w:rsid w:val="00711174"/>
    <w:rsid w:val="008103DE"/>
    <w:rsid w:val="00A221D6"/>
    <w:rsid w:val="00AF7B32"/>
    <w:rsid w:val="00D94456"/>
    <w:rsid w:val="00F12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A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E1B"/>
    <w:pPr>
      <w:spacing w:after="0" w:line="480" w:lineRule="auto"/>
    </w:pPr>
    <w:rPr>
      <w:rFonts w:ascii="Times New Roman" w:hAnsi="Times New Roman" w:cs="Times New Roman"/>
      <w:sz w:val="24"/>
      <w:szCs w:val="24"/>
      <w:lang w:val="en-GB"/>
    </w:rPr>
  </w:style>
  <w:style w:type="paragraph" w:styleId="Heading1">
    <w:name w:val="heading 1"/>
    <w:basedOn w:val="Normal"/>
    <w:next w:val="Normal"/>
    <w:link w:val="Heading1Char"/>
    <w:uiPriority w:val="9"/>
    <w:qFormat/>
    <w:rsid w:val="00191E1B"/>
    <w:pPr>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E1B"/>
    <w:pPr>
      <w:tabs>
        <w:tab w:val="center" w:pos="4680"/>
        <w:tab w:val="right" w:pos="9360"/>
      </w:tabs>
      <w:spacing w:line="240" w:lineRule="auto"/>
    </w:pPr>
  </w:style>
  <w:style w:type="character" w:customStyle="1" w:styleId="HeaderChar">
    <w:name w:val="Header Char"/>
    <w:basedOn w:val="DefaultParagraphFont"/>
    <w:link w:val="Header"/>
    <w:uiPriority w:val="99"/>
    <w:rsid w:val="00191E1B"/>
    <w:rPr>
      <w:rFonts w:ascii="Times New Roman" w:hAnsi="Times New Roman" w:cs="Times New Roman"/>
      <w:sz w:val="24"/>
      <w:szCs w:val="24"/>
      <w:lang w:val="en-GB"/>
    </w:rPr>
  </w:style>
  <w:style w:type="paragraph" w:styleId="Footer">
    <w:name w:val="footer"/>
    <w:basedOn w:val="Normal"/>
    <w:link w:val="FooterChar"/>
    <w:uiPriority w:val="99"/>
    <w:unhideWhenUsed/>
    <w:rsid w:val="00191E1B"/>
    <w:pPr>
      <w:tabs>
        <w:tab w:val="center" w:pos="4680"/>
        <w:tab w:val="right" w:pos="9360"/>
      </w:tabs>
      <w:spacing w:line="240" w:lineRule="auto"/>
    </w:pPr>
  </w:style>
  <w:style w:type="character" w:customStyle="1" w:styleId="FooterChar">
    <w:name w:val="Footer Char"/>
    <w:basedOn w:val="DefaultParagraphFont"/>
    <w:link w:val="Footer"/>
    <w:uiPriority w:val="99"/>
    <w:rsid w:val="00191E1B"/>
    <w:rPr>
      <w:rFonts w:ascii="Times New Roman" w:hAnsi="Times New Roman" w:cs="Times New Roman"/>
      <w:sz w:val="24"/>
      <w:szCs w:val="24"/>
      <w:lang w:val="en-GB"/>
    </w:rPr>
  </w:style>
  <w:style w:type="character" w:customStyle="1" w:styleId="Heading1Char">
    <w:name w:val="Heading 1 Char"/>
    <w:basedOn w:val="DefaultParagraphFont"/>
    <w:link w:val="Heading1"/>
    <w:uiPriority w:val="9"/>
    <w:rsid w:val="00191E1B"/>
    <w:rPr>
      <w:rFonts w:ascii="Times New Roman" w:hAnsi="Times New Roman" w:cs="Times New Roman"/>
      <w:b/>
      <w:bCs/>
      <w:sz w:val="24"/>
      <w:szCs w:val="24"/>
      <w:lang w:val="en-GB"/>
    </w:rPr>
  </w:style>
  <w:style w:type="character" w:styleId="Hyperlink">
    <w:name w:val="Hyperlink"/>
    <w:basedOn w:val="DefaultParagraphFont"/>
    <w:uiPriority w:val="99"/>
    <w:unhideWhenUsed/>
    <w:rsid w:val="00F1226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E1B"/>
    <w:pPr>
      <w:spacing w:after="0" w:line="480" w:lineRule="auto"/>
    </w:pPr>
    <w:rPr>
      <w:rFonts w:ascii="Times New Roman" w:hAnsi="Times New Roman" w:cs="Times New Roman"/>
      <w:sz w:val="24"/>
      <w:szCs w:val="24"/>
      <w:lang w:val="en-GB"/>
    </w:rPr>
  </w:style>
  <w:style w:type="paragraph" w:styleId="Heading1">
    <w:name w:val="heading 1"/>
    <w:basedOn w:val="Normal"/>
    <w:next w:val="Normal"/>
    <w:link w:val="Heading1Char"/>
    <w:uiPriority w:val="9"/>
    <w:qFormat/>
    <w:rsid w:val="00191E1B"/>
    <w:pPr>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E1B"/>
    <w:pPr>
      <w:tabs>
        <w:tab w:val="center" w:pos="4680"/>
        <w:tab w:val="right" w:pos="9360"/>
      </w:tabs>
      <w:spacing w:line="240" w:lineRule="auto"/>
    </w:pPr>
  </w:style>
  <w:style w:type="character" w:customStyle="1" w:styleId="HeaderChar">
    <w:name w:val="Header Char"/>
    <w:basedOn w:val="DefaultParagraphFont"/>
    <w:link w:val="Header"/>
    <w:uiPriority w:val="99"/>
    <w:rsid w:val="00191E1B"/>
    <w:rPr>
      <w:rFonts w:ascii="Times New Roman" w:hAnsi="Times New Roman" w:cs="Times New Roman"/>
      <w:sz w:val="24"/>
      <w:szCs w:val="24"/>
      <w:lang w:val="en-GB"/>
    </w:rPr>
  </w:style>
  <w:style w:type="paragraph" w:styleId="Footer">
    <w:name w:val="footer"/>
    <w:basedOn w:val="Normal"/>
    <w:link w:val="FooterChar"/>
    <w:uiPriority w:val="99"/>
    <w:unhideWhenUsed/>
    <w:rsid w:val="00191E1B"/>
    <w:pPr>
      <w:tabs>
        <w:tab w:val="center" w:pos="4680"/>
        <w:tab w:val="right" w:pos="9360"/>
      </w:tabs>
      <w:spacing w:line="240" w:lineRule="auto"/>
    </w:pPr>
  </w:style>
  <w:style w:type="character" w:customStyle="1" w:styleId="FooterChar">
    <w:name w:val="Footer Char"/>
    <w:basedOn w:val="DefaultParagraphFont"/>
    <w:link w:val="Footer"/>
    <w:uiPriority w:val="99"/>
    <w:rsid w:val="00191E1B"/>
    <w:rPr>
      <w:rFonts w:ascii="Times New Roman" w:hAnsi="Times New Roman" w:cs="Times New Roman"/>
      <w:sz w:val="24"/>
      <w:szCs w:val="24"/>
      <w:lang w:val="en-GB"/>
    </w:rPr>
  </w:style>
  <w:style w:type="character" w:customStyle="1" w:styleId="Heading1Char">
    <w:name w:val="Heading 1 Char"/>
    <w:basedOn w:val="DefaultParagraphFont"/>
    <w:link w:val="Heading1"/>
    <w:uiPriority w:val="9"/>
    <w:rsid w:val="00191E1B"/>
    <w:rPr>
      <w:rFonts w:ascii="Times New Roman" w:hAnsi="Times New Roman" w:cs="Times New Roman"/>
      <w:b/>
      <w:bCs/>
      <w:sz w:val="24"/>
      <w:szCs w:val="24"/>
      <w:lang w:val="en-GB"/>
    </w:rPr>
  </w:style>
  <w:style w:type="character" w:styleId="Hyperlink">
    <w:name w:val="Hyperlink"/>
    <w:basedOn w:val="DefaultParagraphFont"/>
    <w:uiPriority w:val="99"/>
    <w:unhideWhenUsed/>
    <w:rsid w:val="00F122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h.edu/plantops/emanual/forms/ehrm/ecb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2020-06-07T11:52:00Z</dcterms:created>
  <dcterms:modified xsi:type="dcterms:W3CDTF">2020-06-07T11:52:00Z</dcterms:modified>
</cp:coreProperties>
</file>